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spacing w:line="265" w:lineRule="auto" w:before="0" w:after="80"/>
        <w:jc w:val="left"/>
      </w:pPr>
      <w:r>
        <w:rPr>
          <w:b/>
          <w:color w:val="183E55"/>
          <w:sz w:val="58"/>
        </w:rPr>
        <w:t>Sahil Gupta</w:t>
      </w:r>
    </w:p>
    <w:p>
      <w:pPr>
        <w:widowControl/>
        <w:spacing w:line="300" w:lineRule="auto" w:before="0" w:after="80"/>
        <w:jc w:val="left"/>
      </w:pPr>
      <w:r>
        <w:rPr>
          <w:b/>
          <w:color w:val="20272B"/>
          <w:sz w:val="22"/>
        </w:rPr>
        <w:t>Director of AI Engineering | Enterprise AI Agents</w:t>
      </w:r>
    </w:p>
    <w:p>
      <w:pPr>
        <w:widowControl/>
        <w:spacing w:line="300" w:lineRule="auto" w:before="0" w:after="80"/>
        <w:jc w:val="left"/>
      </w:pPr>
      <w:r>
        <w:rPr>
          <w:b w:val="0"/>
          <w:color w:val="20272B"/>
          <w:sz w:val="19"/>
        </w:rPr>
        <w:t xml:space="preserve">Washington DC–Baltimore Area | </w:t>
      </w:r>
      <w:hyperlink r:id="rId9">
        <w:r>
          <w:rPr>
            <w:rFonts w:ascii="Georgia" w:hAnsi="Georgia"/>
            <w:color w:val="20272B"/>
            <w:sz w:val="19"/>
          </w:rPr>
          <w:t>info@sahilgupta.info</w:t>
        </w:r>
      </w:hyperlink>
      <w:r>
        <w:rPr>
          <w:b w:val="0"/>
          <w:color w:val="20272B"/>
          <w:sz w:val="19"/>
        </w:rPr>
        <w:t xml:space="preserve"> | 323-363-0631</w:t>
      </w:r>
    </w:p>
    <w:p>
      <w:pPr>
        <w:widowControl/>
        <w:spacing w:line="300" w:lineRule="auto" w:before="0" w:after="80"/>
        <w:jc w:val="left"/>
      </w:pPr>
      <w:hyperlink r:id="rId10">
        <w:r>
          <w:rPr>
            <w:rFonts w:ascii="Georgia" w:hAnsi="Georgia"/>
            <w:color w:val="20272B"/>
            <w:sz w:val="19"/>
          </w:rPr>
          <w:t>sahilgupta.info</w:t>
        </w:r>
      </w:hyperlink>
      <w:r>
        <w:rPr>
          <w:b w:val="0"/>
          <w:color w:val="20272B"/>
          <w:sz w:val="19"/>
        </w:rPr>
        <w:t xml:space="preserve"> | </w:t>
      </w:r>
      <w:hyperlink r:id="rId11">
        <w:r>
          <w:rPr>
            <w:rFonts w:ascii="Georgia" w:hAnsi="Georgia"/>
            <w:color w:val="20272B"/>
            <w:sz w:val="19"/>
          </w:rPr>
          <w:t>linkedin.com/in/sahilgupta05</w:t>
        </w:r>
      </w:hyperlink>
      <w:r>
        <w:rPr>
          <w:b w:val="0"/>
          <w:color w:val="20272B"/>
          <w:sz w:val="19"/>
        </w:rPr>
        <w:t xml:space="preserve"> | </w:t>
      </w:r>
      <w:hyperlink r:id="rId12">
        <w:r>
          <w:rPr>
            <w:rFonts w:ascii="Georgia" w:hAnsi="Georgia"/>
            <w:color w:val="20272B"/>
            <w:sz w:val="19"/>
          </w:rPr>
          <w:t>github.com/sahilgupta5</w:t>
        </w:r>
      </w:hyperlink>
    </w:p>
    <w:p>
      <w:pPr>
        <w:pStyle w:val="Heading1"/>
        <w:keepNext/>
        <w:widowControl/>
        <w:spacing w:line="300" w:lineRule="auto" w:before="220" w:after="120"/>
      </w:pPr>
      <w:r>
        <w:rPr>
          <w:b/>
          <w:color w:val="183E55"/>
          <w:sz w:val="24"/>
        </w:rPr>
        <w:t>PROFILE</w:t>
      </w:r>
    </w:p>
    <w:p>
      <w:pPr>
        <w:widowControl/>
        <w:spacing w:line="319" w:lineRule="auto" w:before="0" w:after="80"/>
      </w:pPr>
      <w:r>
        <w:rPr>
          <w:b w:val="0"/>
          <w:color w:val="20272B"/>
        </w:rPr>
        <w:t>Engineering leader with 12 years at Appian spanning cloud platforms, site reliability, and enterprise AI. Currently lead 20 engineers and two managers in Agentic AI; led the teams that took Agent Studio from beta to general availability. Previously led a 46-person SRE organization through five managers and cloud-platform work serving 1,200+ customers across 21 regions. Combine architecture, manager development, and product delivery with controlled workflows, guardrails, governance, and auditing around generative AI.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MS Computer Science, Machine Learning — Georgia Tech, GPA 3.90.</w:t>
      </w:r>
      <w:r>
        <w:rPr>
          <w:b w:val="0"/>
          <w:color w:val="20272B"/>
        </w:rPr>
        <w:t xml:space="preserve"> Rated </w:t>
      </w:r>
      <w:r>
        <w:rPr>
          <w:b/>
          <w:color w:val="20272B"/>
        </w:rPr>
        <w:t>Exceptional (top 15%)</w:t>
      </w:r>
      <w:r>
        <w:rPr>
          <w:b w:val="0"/>
          <w:color w:val="20272B"/>
        </w:rPr>
        <w:t xml:space="preserve"> in the two most recent performance cycles: 2025 and H1 2026.</w:t>
      </w:r>
    </w:p>
    <w:p>
      <w:pPr>
        <w:pStyle w:val="Heading1"/>
        <w:keepNext/>
        <w:widowControl/>
        <w:spacing w:line="300" w:lineRule="auto" w:before="220" w:after="120"/>
      </w:pPr>
      <w:r>
        <w:rPr>
          <w:b/>
          <w:color w:val="183E55"/>
          <w:sz w:val="24"/>
        </w:rPr>
        <w:t>SKILLS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AI &amp; platforms:</w:t>
      </w:r>
      <w:r>
        <w:rPr>
          <w:b w:val="0"/>
          <w:color w:val="20272B"/>
        </w:rPr>
        <w:t xml:space="preserve"> Enterprise AI agents, large language models (LLMs), Model Context Protocol (MCP), retrieval-augmented generation (RAG), retrieval and context pipelines, open-source agentic frameworks, AI-assisted software development, API design, AWS, Kubernetes, Terraform, cloud migration, observability, site reliability engineering (SRE).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Engineering leadership:</w:t>
      </w:r>
      <w:r>
        <w:rPr>
          <w:b w:val="0"/>
          <w:color w:val="20272B"/>
        </w:rPr>
        <w:t xml:space="preserve"> Manager development, organization design, technical strategy, roadmaps, hiring, distributed teams, Team Topologies, Shape Up, cross-functional delivery. </w:t>
      </w:r>
      <w:r>
        <w:rPr>
          <w:b/>
          <w:color w:val="20272B"/>
        </w:rPr>
        <w:t>Programming:</w:t>
      </w:r>
      <w:r>
        <w:rPr>
          <w:b w:val="0"/>
          <w:color w:val="20272B"/>
        </w:rPr>
        <w:t xml:space="preserve"> Python, Java, SQL, Bash.</w:t>
      </w:r>
    </w:p>
    <w:p>
      <w:pPr>
        <w:pStyle w:val="Heading1"/>
        <w:keepNext/>
        <w:widowControl/>
        <w:spacing w:line="300" w:lineRule="auto" w:before="220" w:after="120"/>
      </w:pPr>
      <w:r>
        <w:rPr>
          <w:b/>
          <w:color w:val="183E55"/>
          <w:sz w:val="24"/>
        </w:rPr>
        <w:t>PROFESSIONAL EXPERIENCE</w:t>
      </w:r>
    </w:p>
    <w:p>
      <w:pPr>
        <w:pStyle w:val="Heading2"/>
        <w:keepNext/>
        <w:widowControl/>
        <w:spacing w:line="305" w:lineRule="auto" w:before="100" w:after="80"/>
      </w:pPr>
      <w:r>
        <w:rPr>
          <w:b/>
          <w:color w:val="20272B"/>
          <w:sz w:val="22"/>
        </w:rPr>
        <w:t>Appian Corporation — McLean, VA | Jul 2014–Present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Director &amp; Group Lead, Agentic AI | Feb 2025–Present</w:t>
      </w:r>
    </w:p>
    <w:p>
      <w:pPr>
        <w:widowControl/>
        <w:spacing w:line="319" w:lineRule="auto" w:before="0" w:after="80"/>
      </w:pPr>
      <w:r>
        <w:rPr>
          <w:b w:val="0"/>
          <w:color w:val="20272B"/>
        </w:rPr>
        <w:t xml:space="preserve">Artificial Intelligence Division — currently lead </w:t>
      </w:r>
      <w:r>
        <w:rPr>
          <w:b/>
          <w:color w:val="20272B"/>
        </w:rPr>
        <w:t>20 engineers and two managers</w:t>
      </w:r>
      <w:r>
        <w:rPr>
          <w:b w:val="0"/>
          <w:color w:val="20272B"/>
        </w:rPr>
        <w:t>, delivering Agent Studio and reusable agentic services.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Led the teams that delivered </w:t>
      </w:r>
      <w:r>
        <w:rPr>
          <w:b/>
          <w:color w:val="20272B"/>
        </w:rPr>
        <w:t>Agent Studio from beta to general availability</w:t>
      </w:r>
      <w:r>
        <w:rPr>
          <w:b w:val="0"/>
          <w:color w:val="20272B"/>
        </w:rPr>
        <w:t xml:space="preserve"> in Appian 25.4, bringing AI reasoning, enterprise data access, and workflow orchestration into a commercial platform. The agentic platform now serves </w:t>
      </w:r>
      <w:r>
        <w:rPr>
          <w:b/>
          <w:color w:val="20272B"/>
        </w:rPr>
        <w:t>many production customers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Increased concurrent-agent capacity to </w:t>
      </w:r>
      <w:r>
        <w:rPr>
          <w:b/>
          <w:color w:val="20272B"/>
        </w:rPr>
        <w:t>at least 10x its prior level per Appian single-tenant instance</w:t>
      </w:r>
      <w:r>
        <w:rPr>
          <w:b w:val="0"/>
          <w:color w:val="20272B"/>
        </w:rPr>
        <w:t xml:space="preserve"> by leading the redesign to a </w:t>
      </w:r>
      <w:r>
        <w:rPr>
          <w:b/>
          <w:color w:val="20272B"/>
        </w:rPr>
        <w:t>stateless, API-based agent harness</w:t>
      </w:r>
      <w:r>
        <w:rPr>
          <w:b w:val="0"/>
          <w:color w:val="20272B"/>
        </w:rPr>
        <w:t xml:space="preserve">. Testing demonstrated </w:t>
      </w:r>
      <w:r>
        <w:rPr>
          <w:b/>
          <w:color w:val="20272B"/>
        </w:rPr>
        <w:t>25x the original baseline</w:t>
      </w:r>
      <w:r>
        <w:rPr>
          <w:b w:val="0"/>
          <w:color w:val="20272B"/>
        </w:rPr>
        <w:t xml:space="preserve"> with no observed degradation in accuracy or per-agent runtime across multi-turn runs.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Led adoption of </w:t>
      </w:r>
      <w:r>
        <w:rPr>
          <w:b/>
          <w:color w:val="20272B"/>
        </w:rPr>
        <w:t>open-source agentic backends and harnesses</w:t>
      </w:r>
      <w:r>
        <w:rPr>
          <w:b w:val="0"/>
          <w:color w:val="20272B"/>
        </w:rPr>
        <w:t>, making platform changes easier to deploy and letting teams benefit from the evolving open-source ecosystem.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Restructured </w:t>
      </w:r>
      <w:r>
        <w:rPr>
          <w:b/>
          <w:color w:val="20272B"/>
        </w:rPr>
        <w:t>four teams</w:t>
      </w:r>
      <w:r>
        <w:rPr>
          <w:b w:val="0"/>
          <w:color w:val="20272B"/>
        </w:rPr>
        <w:t xml:space="preserve"> around shared AI services and defined API ownership across AI application creation, process mining, and robotic process automation. Introduced contract-first, mock-first development to enable parallel delivery.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Co-developed the long-term architecture strategy for agent memory, guardrails, Model Context Protocol (MCP), execution, and tools. </w:t>
      </w:r>
      <w:r>
        <w:rPr>
          <w:b/>
          <w:color w:val="20272B"/>
        </w:rPr>
        <w:t>Personally built an MCP Server prototype</w:t>
      </w:r>
      <w:r>
        <w:rPr>
          <w:b w:val="0"/>
          <w:color w:val="20272B"/>
        </w:rPr>
        <w:t xml:space="preserve"> and remained directly involved in architecture reviews.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Led the rollout of AI-assisted development to </w:t>
      </w:r>
      <w:r>
        <w:rPr>
          <w:b/>
          <w:color w:val="20272B"/>
        </w:rPr>
        <w:t>800 engineers in six months</w:t>
      </w:r>
      <w:r>
        <w:rPr>
          <w:b w:val="0"/>
          <w:color w:val="20272B"/>
        </w:rPr>
        <w:t>. Personally built Terraform/AWS infrastructure; partnered on production deployment controls and enabled adoption through workshops and technical guidance.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Introduced </w:t>
      </w:r>
      <w:r>
        <w:rPr>
          <w:b/>
          <w:color w:val="20272B"/>
        </w:rPr>
        <w:t>parallel AI-assisted development workflows</w:t>
      </w:r>
      <w:r>
        <w:rPr>
          <w:b w:val="0"/>
          <w:color w:val="20272B"/>
        </w:rPr>
        <w:t xml:space="preserve"> and coached Agentic AI teams; </w:t>
      </w:r>
      <w:r>
        <w:rPr>
          <w:b/>
          <w:color w:val="20272B"/>
        </w:rPr>
        <w:t>the group’s delivered feature scope tripled over one year</w:t>
      </w:r>
      <w:r>
        <w:rPr>
          <w:b w:val="0"/>
          <w:color w:val="20272B"/>
        </w:rPr>
        <w:t xml:space="preserve">, measured in developer-weeks of work and total team output. Designed </w:t>
      </w:r>
      <w:r>
        <w:rPr>
          <w:b/>
          <w:color w:val="20272B"/>
        </w:rPr>
        <w:t>“Context is King”</w:t>
      </w:r>
      <w:r>
        <w:rPr>
          <w:b w:val="0"/>
          <w:color w:val="20272B"/>
        </w:rPr>
        <w:t xml:space="preserve"> workshops; group reached </w:t>
      </w:r>
      <w:r>
        <w:rPr>
          <w:b/>
          <w:color w:val="20272B"/>
        </w:rPr>
        <w:t>#1 in department AI-assisted development adoption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Delivered Appian’s </w:t>
      </w:r>
      <w:r>
        <w:rPr>
          <w:b/>
          <w:color w:val="20272B"/>
        </w:rPr>
        <w:t>most popular beta by interest</w:t>
      </w:r>
      <w:r>
        <w:rPr>
          <w:b w:val="0"/>
          <w:color w:val="20272B"/>
        </w:rPr>
        <w:t xml:space="preserve">: 148 organizations expressed interest; 22 organizations participated, building </w:t>
      </w:r>
      <w:r>
        <w:rPr>
          <w:b/>
          <w:color w:val="20272B"/>
        </w:rPr>
        <w:t>257 agents</w:t>
      </w:r>
      <w:r>
        <w:rPr>
          <w:b w:val="0"/>
          <w:color w:val="20272B"/>
        </w:rPr>
        <w:t>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Director &amp; Group Lead, Site Reliability Engineering | Jan 2024–Jan 2025</w:t>
      </w:r>
    </w:p>
    <w:p>
      <w:pPr>
        <w:widowControl/>
        <w:spacing w:line="319" w:lineRule="auto" w:before="0" w:after="80"/>
      </w:pPr>
      <w:r>
        <w:rPr>
          <w:b w:val="0"/>
          <w:color w:val="20272B"/>
        </w:rPr>
        <w:t xml:space="preserve">CTO-appointed leader of a </w:t>
      </w:r>
      <w:r>
        <w:rPr>
          <w:b/>
          <w:color w:val="20272B"/>
        </w:rPr>
        <w:t>46-person SRE organization across five teams and five managers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With the team, cut </w:t>
      </w:r>
      <w:r>
        <w:rPr>
          <w:b/>
          <w:color w:val="20272B"/>
        </w:rPr>
        <w:t>critical-outage MTTR from 9 hours to under 3</w:t>
      </w:r>
      <w:r>
        <w:rPr>
          <w:b w:val="0"/>
          <w:color w:val="20272B"/>
        </w:rPr>
        <w:t xml:space="preserve"> through global on-call and structured incident command. Enabled real-time synthetic monitoring with the team, reducing </w:t>
      </w:r>
      <w:r>
        <w:rPr>
          <w:b/>
          <w:color w:val="20272B"/>
        </w:rPr>
        <w:t>detection and recovery for many common site-availability incidents from about 1 hour on average to under 15 minutes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Created and staffed a team owning incidents for previously unowned services and components; coached </w:t>
      </w:r>
      <w:r>
        <w:rPr>
          <w:b/>
          <w:color w:val="20272B"/>
        </w:rPr>
        <w:t>SRE first principles</w:t>
      </w:r>
      <w:r>
        <w:rPr>
          <w:b w:val="0"/>
          <w:color w:val="20272B"/>
        </w:rPr>
        <w:t xml:space="preserve"> while devoting </w:t>
      </w:r>
      <w:r>
        <w:rPr>
          <w:b/>
          <w:color w:val="20272B"/>
        </w:rPr>
        <w:t>more than 50% of that team’s time to automation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/>
          <w:color w:val="20272B"/>
        </w:rPr>
        <w:t>Performance-related customer satisfaction rose from 67% to 80%</w:t>
      </w:r>
      <w:r>
        <w:rPr>
          <w:b w:val="0"/>
          <w:color w:val="20272B"/>
        </w:rPr>
        <w:t xml:space="preserve">; </w:t>
      </w:r>
      <w:r>
        <w:rPr>
          <w:b/>
          <w:color w:val="20272B"/>
        </w:rPr>
        <w:t>feature satisfaction from 83% to 90%</w:t>
      </w:r>
      <w:r>
        <w:rPr>
          <w:b w:val="0"/>
          <w:color w:val="20272B"/>
        </w:rPr>
        <w:t xml:space="preserve"> (Q1 2024 to 2025).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Personally </w:t>
      </w:r>
      <w:r>
        <w:rPr>
          <w:b/>
          <w:color w:val="20272B"/>
        </w:rPr>
        <w:t>hired and coached approximately 10 senior engineering leaders and senior managers</w:t>
      </w:r>
      <w:r>
        <w:rPr>
          <w:b w:val="0"/>
          <w:color w:val="20272B"/>
        </w:rPr>
        <w:t xml:space="preserve">; </w:t>
      </w:r>
      <w:r>
        <w:rPr>
          <w:b/>
          <w:color w:val="20272B"/>
        </w:rPr>
        <w:t>zero regretted attrition during the SRE tenure</w:t>
      </w:r>
      <w:r>
        <w:rPr>
          <w:b w:val="0"/>
          <w:color w:val="20272B"/>
        </w:rPr>
        <w:t>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Director &amp; Group Lead, Cloud Services &amp; Platform Engineering | Apr 2023–Dec 2023</w:t>
      </w:r>
    </w:p>
    <w:p>
      <w:pPr>
        <w:widowControl/>
        <w:spacing w:line="319" w:lineRule="auto" w:before="0" w:after="80"/>
      </w:pPr>
      <w:r>
        <w:rPr>
          <w:b w:val="0"/>
          <w:color w:val="20272B"/>
        </w:rPr>
        <w:t xml:space="preserve">Led five squads developing cloud infrastructure for </w:t>
      </w:r>
      <w:r>
        <w:rPr>
          <w:b/>
          <w:color w:val="20272B"/>
        </w:rPr>
        <w:t>1,200+ enterprise customers across 21 regions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Directed the monolith-to-Kubernetes migration program in partnership with architecture, engineering, and security. The cloud-native web-layer redesign cut </w:t>
      </w:r>
      <w:r>
        <w:rPr>
          <w:b/>
          <w:color w:val="20272B"/>
        </w:rPr>
        <w:t>restart downtime 23%</w:t>
      </w:r>
      <w:r>
        <w:rPr>
          <w:b w:val="0"/>
          <w:color w:val="20272B"/>
        </w:rPr>
        <w:t xml:space="preserve">, improved static-content response time </w:t>
      </w:r>
      <w:r>
        <w:rPr>
          <w:b/>
          <w:color w:val="20272B"/>
        </w:rPr>
        <w:t>up to 30%</w:t>
      </w:r>
      <w:r>
        <w:rPr>
          <w:b w:val="0"/>
          <w:color w:val="20272B"/>
        </w:rPr>
        <w:t xml:space="preserve">, and reduced provisioning from </w:t>
      </w:r>
      <w:r>
        <w:rPr>
          <w:b/>
          <w:color w:val="20272B"/>
        </w:rPr>
        <w:t>5–30 minutes to seconds</w:t>
      </w:r>
      <w:r>
        <w:rPr>
          <w:b w:val="0"/>
          <w:color w:val="20272B"/>
        </w:rPr>
        <w:t>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Established a </w:t>
      </w:r>
      <w:r>
        <w:rPr>
          <w:b/>
          <w:color w:val="20272B"/>
        </w:rPr>
        <w:t>Cloud Native team in Chennai</w:t>
      </w:r>
      <w:r>
        <w:rPr>
          <w:b w:val="0"/>
          <w:color w:val="20272B"/>
        </w:rPr>
        <w:t>, hiring six developers and a senior manager, and defining the team’s mission, roadmap, and operating model to support the migration program.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Helped implement engineering-wide </w:t>
      </w:r>
      <w:r>
        <w:rPr>
          <w:b/>
          <w:color w:val="20272B"/>
        </w:rPr>
        <w:t>promotion competency frameworks</w:t>
      </w:r>
      <w:r>
        <w:rPr>
          <w:b w:val="0"/>
          <w:color w:val="20272B"/>
        </w:rPr>
        <w:t xml:space="preserve"> through the Engineering People Council. Led development of competency maps for technical mentors, managers, and senior managers, extending the work beyond software engineering roles.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Partnered with engineering, architecture, and information security on FedRAMP and HITRUST requirements. Led the group whose web-layer controls completed </w:t>
      </w:r>
      <w:r>
        <w:rPr>
          <w:b/>
          <w:color w:val="20272B"/>
        </w:rPr>
        <w:t>HITRUST readiness work in one sprint</w:t>
      </w:r>
      <w:r>
        <w:rPr>
          <w:b w:val="0"/>
          <w:color w:val="20272B"/>
        </w:rPr>
        <w:t>, supporting the broader certification effort.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Senior Software Engineering Manager | Jan 2022–Mar 2023</w:t>
      </w:r>
    </w:p>
    <w:p>
      <w:pPr>
        <w:widowControl/>
        <w:spacing w:line="319" w:lineRule="auto" w:before="0" w:after="80"/>
      </w:pPr>
      <w:r>
        <w:rPr>
          <w:b w:val="0"/>
          <w:color w:val="20272B"/>
        </w:rPr>
        <w:t>Group Software Development Lead, Cloud Services — five squads and approximately 50 direct and indirect reports.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>Set priorities across cloud-infrastructure development and the cloud-native migration, aligning autonomous squads around customer outcomes, delivery, and operational needs.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Senior Cloud Software Manager | Oct 2020–Jan 2022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 xml:space="preserve">Led </w:t>
      </w:r>
      <w:r>
        <w:rPr>
          <w:b/>
          <w:color w:val="20272B"/>
        </w:rPr>
        <w:t>12 engineers with six direct reports</w:t>
      </w:r>
      <w:r>
        <w:rPr>
          <w:b w:val="0"/>
          <w:color w:val="20272B"/>
        </w:rPr>
        <w:t>, owning team vision, roadmap, and prioritization. Served as principal recruitment lead across seniority levels, provided technical guidance, and coached engineers’ career development.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Lead Cloud Engineer | Apr 2018–Oct 2020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>Technical lead for Shared Infrastructure, covering the web layer, monitoring, analytics, centralized logging, and routing. Owned the backlog and roadmap while managing direct reports’ growth and career development.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Senior Cloud Engineer | Aug 2016–Apr 2018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>Built autoscaling and elastic web-layer services to add, remove, start, and stop web servers. Co-developed the operational data platform and personally designed and implemented its reporting layer, helping engineers investigate performance trends.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Cloud Engineer | Jul 2015–Jul 2016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>Built tools and scripts for on-premises-to-cloud migrations and served as the primary AWS contact for mission-critical issues. Developed centralized logging across thousands of servers and monitoring interfaces and notifications for cloud operations.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>Delivered operational applications for site cloning, reversion, and backup restoration, working with architects and cloud engineers from requirements through deployment.</w:t>
      </w:r>
    </w:p>
    <w:p>
      <w:pPr>
        <w:pStyle w:val="Heading3"/>
        <w:keepNext/>
        <w:widowControl/>
        <w:spacing w:line="319" w:lineRule="auto" w:before="100" w:after="80"/>
      </w:pPr>
      <w:r>
        <w:rPr>
          <w:b/>
          <w:color w:val="20272B"/>
          <w:sz w:val="21"/>
        </w:rPr>
        <w:t>Associate Cloud Engineer | Jul 2014–Jun 2015</w:t>
      </w:r>
    </w:p>
    <w:p>
      <w:pPr>
        <w:pStyle w:val="ListBullet"/>
        <w:keepLines/>
        <w:widowControl/>
        <w:spacing w:line="319" w:lineRule="auto" w:before="0" w:after="80"/>
        <w:ind w:left="200" w:hanging="200"/>
      </w:pPr>
      <w:r>
        <w:rPr>
          <w:b w:val="0"/>
          <w:color w:val="20272B"/>
        </w:rPr>
        <w:t>Led development of the uptime/SLA tracking application using Appian, SAIL, and MySQL. Combined monitoring and change-management data to distinguish scheduled and unscheduled downtime and inform reliability priorities.</w:t>
      </w:r>
    </w:p>
    <w:p>
      <w:pPr>
        <w:pStyle w:val="Heading1"/>
        <w:keepNext/>
        <w:widowControl/>
        <w:spacing w:line="300" w:lineRule="auto" w:before="220" w:after="120"/>
      </w:pPr>
      <w:r>
        <w:rPr>
          <w:b/>
          <w:color w:val="183E55"/>
          <w:sz w:val="24"/>
        </w:rPr>
        <w:t>EARLIER EXPERIENCE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Goldman Sachs — Technology Summer Analyst | May 2013–August 2013.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The Coca-Cola Company — Mobile Application Developer | January 2013–February 2013.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ADP — Web &amp; Mobile Application Developer | June 2012–August 2012.</w:t>
      </w:r>
    </w:p>
    <w:p>
      <w:pPr>
        <w:pStyle w:val="Heading1"/>
        <w:keepNext/>
        <w:widowControl/>
        <w:spacing w:line="300" w:lineRule="auto" w:before="220" w:after="120"/>
      </w:pPr>
      <w:r>
        <w:rPr>
          <w:b/>
          <w:color w:val="183E55"/>
          <w:sz w:val="24"/>
        </w:rPr>
        <w:t>EDUCATION &amp; RECOGNITION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Georgia Institute of Technology — MS, Computer Science | Dec 2024 | GPA 3.90</w:t>
      </w:r>
    </w:p>
    <w:p>
      <w:pPr>
        <w:widowControl/>
        <w:spacing w:line="319" w:lineRule="auto" w:before="0" w:after="80"/>
      </w:pPr>
      <w:r>
        <w:rPr>
          <w:b w:val="0"/>
          <w:color w:val="20272B"/>
        </w:rPr>
        <w:t>Machine Learning and Computing Systems focus.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Georgia Institute of Technology — BS, Computer Engineering | 2014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Appian Impact Award | Dec 2025</w:t>
      </w:r>
      <w:r>
        <w:rPr>
          <w:b w:val="0"/>
          <w:color w:val="20272B"/>
        </w:rPr>
        <w:t xml:space="preserve"> — cross-organizational AI adoption. </w:t>
      </w:r>
      <w:r>
        <w:rPr>
          <w:b/>
          <w:color w:val="20272B"/>
        </w:rPr>
        <w:t>Appian MVP, Cloud &amp; Community Services Department | Jan 2017.</w:t>
      </w:r>
    </w:p>
    <w:p>
      <w:pPr>
        <w:widowControl/>
        <w:spacing w:line="319" w:lineRule="auto" w:before="0" w:after="80"/>
      </w:pPr>
      <w:r>
        <w:rPr>
          <w:b/>
          <w:color w:val="20272B"/>
        </w:rPr>
        <w:t>AWS Certified Solutions Architect – Professional | earned Jun 2017.</w:t>
      </w:r>
    </w:p>
    <w:sectPr w:rsidR="00FC693F" w:rsidRPr="0006063C" w:rsidSect="00034616">
      <w:pgSz w:w="12240" w:h="15840"/>
      <w:pgMar w:top="700" w:right="980" w:bottom="700" w:left="9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19" w:lineRule="auto" w:after="80"/>
    </w:pPr>
    <w:rPr>
      <w:rFonts w:ascii="Georgia" w:hAnsi="Georgia"/>
      <w:color w:val="20272B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Georgia" w:hAnsi="Georgia"/>
      <w:b/>
      <w:bCs/>
      <w:color w:val="183E5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Georgia" w:hAnsi="Georgia"/>
      <w:b/>
      <w:bCs/>
      <w:color w:val="20272B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Georgia" w:hAnsi="Georgia"/>
      <w:b/>
      <w:bCs/>
      <w:color w:val="20272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Georgia" w:hAnsi="Georgia"/>
      <w:color w:val="183E5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Georgia" w:hAnsi="Georgia"/>
      <w:i/>
      <w:iCs/>
      <w:color w:val="20272B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Georgia" w:hAnsi="Georgia"/>
      <w:color w:val="20272B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mailto:info@sahilgupta.info" TargetMode="External"/><Relationship Id="rId10" Type="http://schemas.openxmlformats.org/officeDocument/2006/relationships/hyperlink" Target="https://www.sahilgupta.info/" TargetMode="External"/><Relationship Id="rId11" Type="http://schemas.openxmlformats.org/officeDocument/2006/relationships/hyperlink" Target="https://www.linkedin.com/in/sahilgupta05/" TargetMode="External"/><Relationship Id="rId12" Type="http://schemas.openxmlformats.org/officeDocument/2006/relationships/hyperlink" Target="https://github.com/sahilgupta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Sahil Gupta — Engineering Leadership</dc:title>
  <dc:subject/>
  <dc:creator>Sahil Gupta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